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DFD" w:rsidRPr="00EA5DDC" w:rsidRDefault="00357DFD" w:rsidP="00357DFD">
      <w:pPr>
        <w:jc w:val="right"/>
        <w:rPr>
          <w:b/>
        </w:rPr>
      </w:pPr>
      <w:r>
        <w:tab/>
      </w:r>
      <w:r w:rsidRPr="00EA5DDC">
        <w:rPr>
          <w:b/>
        </w:rPr>
        <w:t>ПРОЕКТ</w:t>
      </w:r>
    </w:p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>
      <w:pPr>
        <w:pStyle w:val="a7"/>
        <w:spacing w:after="0"/>
        <w:rPr>
          <w:b w:val="0"/>
          <w:color w:val="000000"/>
          <w:sz w:val="28"/>
        </w:rPr>
      </w:pPr>
    </w:p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/>
    <w:p w:rsidR="00357DFD" w:rsidRPr="00EA5DDC" w:rsidRDefault="00357DFD" w:rsidP="00357DFD">
      <w:pPr>
        <w:pStyle w:val="11"/>
        <w:spacing w:after="240" w:line="240" w:lineRule="exact"/>
        <w:rPr>
          <w:caps/>
          <w:sz w:val="28"/>
        </w:rPr>
      </w:pPr>
      <w:r w:rsidRPr="00EA5DDC">
        <w:rPr>
          <w:caps/>
          <w:sz w:val="28"/>
        </w:rPr>
        <w:t>Государственная программа Чеченской Республики</w:t>
      </w:r>
    </w:p>
    <w:p w:rsidR="00357DFD" w:rsidRPr="00EA5DDC" w:rsidRDefault="00357DFD" w:rsidP="00357DFD">
      <w:pPr>
        <w:pStyle w:val="11"/>
        <w:spacing w:line="240" w:lineRule="exact"/>
        <w:rPr>
          <w:caps/>
          <w:sz w:val="28"/>
        </w:rPr>
      </w:pPr>
      <w:r w:rsidRPr="00EA5DDC">
        <w:rPr>
          <w:caps/>
          <w:sz w:val="28"/>
        </w:rPr>
        <w:t>«Обеспечение финансовой устойчивости Чеченской Республики»</w:t>
      </w:r>
    </w:p>
    <w:p w:rsidR="00357DFD" w:rsidRPr="00EA5DDC" w:rsidRDefault="00357DFD" w:rsidP="00357DFD">
      <w:pPr>
        <w:pStyle w:val="a6"/>
        <w:spacing w:before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</w:rPr>
      </w:pPr>
      <w:r w:rsidRPr="00EA5DDC">
        <w:rPr>
          <w:rFonts w:ascii="Times New Roman" w:hAnsi="Times New Roman"/>
          <w:b/>
          <w:color w:val="000000"/>
          <w:sz w:val="28"/>
        </w:rPr>
        <w:br w:type="page"/>
      </w:r>
      <w:r w:rsidRPr="00EA5DDC">
        <w:rPr>
          <w:rFonts w:ascii="Times New Roman" w:hAnsi="Times New Roman"/>
          <w:b/>
          <w:color w:val="000000"/>
          <w:sz w:val="28"/>
        </w:rPr>
        <w:lastRenderedPageBreak/>
        <w:t>ПАСПОРТ</w:t>
      </w:r>
    </w:p>
    <w:p w:rsidR="00357DFD" w:rsidRPr="00EA5DDC" w:rsidRDefault="00357DFD" w:rsidP="00357DFD">
      <w:pPr>
        <w:spacing w:before="120"/>
        <w:jc w:val="center"/>
        <w:rPr>
          <w:b/>
        </w:rPr>
      </w:pPr>
      <w:r w:rsidRPr="00EA5DDC">
        <w:rPr>
          <w:b/>
        </w:rPr>
        <w:t>государственной программы Чеченской Республики</w:t>
      </w:r>
    </w:p>
    <w:p w:rsidR="00357DFD" w:rsidRPr="00EA5DDC" w:rsidRDefault="00357DFD" w:rsidP="00357DFD">
      <w:pPr>
        <w:jc w:val="center"/>
        <w:rPr>
          <w:b/>
        </w:rPr>
      </w:pPr>
      <w:r w:rsidRPr="00EA5DDC">
        <w:rPr>
          <w:b/>
        </w:rPr>
        <w:t>«Обеспечение финансовой устойчивости Чеченской Республики»</w:t>
      </w:r>
    </w:p>
    <w:p w:rsidR="00357DFD" w:rsidRPr="00EA5DDC" w:rsidRDefault="00357DFD" w:rsidP="00A06C78"/>
    <w:tbl>
      <w:tblPr>
        <w:tblW w:w="978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40"/>
        <w:gridCol w:w="3640"/>
        <w:gridCol w:w="1801"/>
      </w:tblGrid>
      <w:tr w:rsidR="00357DFD" w:rsidRPr="00EA5DDC" w:rsidTr="0090561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2F1D51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Ответственный исполнитель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финансов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2F1D51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Соисполнители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-</w:t>
            </w:r>
          </w:p>
        </w:tc>
      </w:tr>
      <w:tr w:rsidR="00357DFD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2F1D51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Участники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труда, занятости и социального развития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экономического, территориального развития и торговли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образования и науки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культуры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Чеченской Республики по физической культуре и спорту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Администрация Главы и Правительства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Управление делами Главы и Правительства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Архивное управление Правительства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промышленности и энергетики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природных ресурсов и охраны окружающей среды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Чеченской Республики по национальной политике, внешним связям, печати и информации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сельского хозяйства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автомобильных дорог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здравоохранения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транспорта и связи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строительства и жилищно-коммунального хозяйства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Министерство Чеченской Республики по туризму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Комитет Правительства Чеченской Республики по предупреждению и ликвидации последствий чрезвычайных ситуаций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Комитет Правительства Чеченской Республики по дошкольному образованию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Государственное казенное научное учреждение "Академия наук Чеченской Республики"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Отделение - Национальный банк по Чеченской Республике Южного главного управления Центрального банка Российской Федерации (по согласованию)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 xml:space="preserve">Управление Федеральной службы по надзору в </w:t>
            </w:r>
            <w:r w:rsidRPr="00EA5DDC">
              <w:lastRenderedPageBreak/>
              <w:t>сфере защиты прав потребителей и благополучия человека по Чеченской Республике (по согласованию)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Государственное учреждение - Отделение Пенсионного фонда Российской Федерации по Чеченской Республике (по согласованию)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Управление Федеральной налоговой службы по Чеченской Республике (по согласованию)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Высшие учебные заведения (по согласованию)</w:t>
            </w:r>
          </w:p>
        </w:tc>
      </w:tr>
      <w:tr w:rsidR="00357DFD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2F1D51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Подпрограммы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EA5DDC" w:rsidP="00A310E1">
            <w:pPr>
              <w:pStyle w:val="a3"/>
            </w:pPr>
            <w:hyperlink w:anchor="sub_1006" w:history="1">
              <w:r w:rsidR="00357DFD" w:rsidRPr="00EA5DDC">
                <w:rPr>
                  <w:rStyle w:val="a9"/>
                  <w:rFonts w:eastAsiaTheme="majorEastAsia"/>
                </w:rPr>
                <w:t>Подпрограмма</w:t>
              </w:r>
            </w:hyperlink>
            <w:r w:rsidR="00357DFD" w:rsidRPr="00EA5DDC">
              <w:t xml:space="preserve"> "Обеспечение сбалансированности и устойчивости республиканского бюджета и бюджетов муниципальных образований Чеченской Республики"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EA5DDC" w:rsidP="00A310E1">
            <w:pPr>
              <w:pStyle w:val="a3"/>
            </w:pPr>
            <w:hyperlink w:anchor="sub_1007" w:history="1">
              <w:r w:rsidR="00357DFD" w:rsidRPr="00EA5DDC">
                <w:rPr>
                  <w:rStyle w:val="a9"/>
                  <w:rFonts w:eastAsiaTheme="majorEastAsia"/>
                </w:rPr>
                <w:t>Подпрограмма</w:t>
              </w:r>
            </w:hyperlink>
            <w:r w:rsidR="00357DFD" w:rsidRPr="00EA5DDC">
              <w:t xml:space="preserve"> "Обеспечение реализации государственной программы Чеченской Республики "Обеспечение финансовой устойчивости Чеченской Республики"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EA5DDC" w:rsidP="00A310E1">
            <w:pPr>
              <w:pStyle w:val="a3"/>
            </w:pPr>
            <w:hyperlink w:anchor="sub_1030" w:history="1">
              <w:r w:rsidR="00357DFD" w:rsidRPr="00EA5DDC">
                <w:rPr>
                  <w:rStyle w:val="a9"/>
                  <w:rFonts w:eastAsiaTheme="majorEastAsia"/>
                </w:rPr>
                <w:t>Подпрограмма</w:t>
              </w:r>
            </w:hyperlink>
            <w:r w:rsidR="00357DFD" w:rsidRPr="00EA5DDC">
              <w:t xml:space="preserve"> "Повышение финансовой грамотности населения в Чеченской Республике"</w:t>
            </w:r>
          </w:p>
        </w:tc>
      </w:tr>
      <w:tr w:rsidR="00357DFD" w:rsidRPr="00EA5DDC" w:rsidTr="0090561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2F1D51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Программно-целевые инструменты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Не предусмотрены</w:t>
            </w:r>
          </w:p>
        </w:tc>
      </w:tr>
      <w:tr w:rsidR="00AA23A9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right w:val="nil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Задачи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Обеспечение долгосрочной сбалансированности и устойчивости республиканского бюджета и бюджетов муниципальных образований Чеченской Республики, повышение качества управления государственными финансами Чеченской Республики и муниципальными финансами</w:t>
            </w:r>
          </w:p>
        </w:tc>
      </w:tr>
      <w:tr w:rsidR="00AA23A9" w:rsidRPr="00EA5DDC" w:rsidTr="0090561B">
        <w:tc>
          <w:tcPr>
            <w:tcW w:w="4340" w:type="dxa"/>
            <w:vMerge/>
            <w:tcBorders>
              <w:right w:val="nil"/>
            </w:tcBorders>
          </w:tcPr>
          <w:p w:rsidR="00AA23A9" w:rsidRPr="00EA5DDC" w:rsidRDefault="00AA23A9" w:rsidP="00A310E1">
            <w:pPr>
              <w:pStyle w:val="a3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Обеспечение сбалансированности и устойчивости республиканского бюджета</w:t>
            </w:r>
          </w:p>
        </w:tc>
      </w:tr>
      <w:tr w:rsidR="00AA23A9" w:rsidRPr="00EA5DDC" w:rsidTr="0090561B">
        <w:tc>
          <w:tcPr>
            <w:tcW w:w="4340" w:type="dxa"/>
            <w:vMerge/>
            <w:tcBorders>
              <w:right w:val="nil"/>
            </w:tcBorders>
          </w:tcPr>
          <w:p w:rsidR="00AA23A9" w:rsidRPr="00EA5DDC" w:rsidRDefault="00AA23A9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Повышение эффективности использования средств республиканского бюджета и качества управления государственными финансами Чеченской Республики</w:t>
            </w:r>
          </w:p>
        </w:tc>
      </w:tr>
      <w:tr w:rsidR="00AA23A9" w:rsidRPr="00EA5DDC" w:rsidTr="0090561B">
        <w:tc>
          <w:tcPr>
            <w:tcW w:w="4340" w:type="dxa"/>
            <w:vMerge/>
            <w:tcBorders>
              <w:right w:val="nil"/>
            </w:tcBorders>
          </w:tcPr>
          <w:p w:rsidR="00AA23A9" w:rsidRPr="00EA5DDC" w:rsidRDefault="00AA23A9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Выравнивание финансовых возможностей местных бюджетов</w:t>
            </w:r>
          </w:p>
        </w:tc>
      </w:tr>
      <w:tr w:rsidR="00AA23A9" w:rsidRPr="00EA5DDC" w:rsidTr="0090561B">
        <w:tc>
          <w:tcPr>
            <w:tcW w:w="4340" w:type="dxa"/>
            <w:vMerge/>
            <w:tcBorders>
              <w:right w:val="nil"/>
            </w:tcBorders>
          </w:tcPr>
          <w:p w:rsidR="00AA23A9" w:rsidRPr="00EA5DDC" w:rsidRDefault="00AA23A9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Создание условий для обеспечения сбалансированности и устойчивости местных бюджетов и повышения качества управления муниципальными финансами в Чеченской Республике</w:t>
            </w:r>
          </w:p>
        </w:tc>
      </w:tr>
      <w:tr w:rsidR="00AA23A9" w:rsidRPr="00EA5DDC" w:rsidTr="0090561B">
        <w:tc>
          <w:tcPr>
            <w:tcW w:w="4340" w:type="dxa"/>
            <w:vMerge/>
            <w:tcBorders>
              <w:bottom w:val="single" w:sz="4" w:space="0" w:color="auto"/>
              <w:right w:val="nil"/>
            </w:tcBorders>
          </w:tcPr>
          <w:p w:rsidR="00AA23A9" w:rsidRPr="00EA5DDC" w:rsidRDefault="00AA23A9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23A9" w:rsidRPr="00EA5DDC" w:rsidRDefault="00AA23A9" w:rsidP="00A310E1">
            <w:pPr>
              <w:pStyle w:val="a3"/>
            </w:pPr>
            <w:r w:rsidRPr="00EA5DDC">
              <w:t>Содействие повышению уровня финансовой грамотности населения и развитию финансового образования в Чеченской Республике</w:t>
            </w:r>
          </w:p>
        </w:tc>
      </w:tr>
      <w:tr w:rsidR="00357DFD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622507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Целевые индикаторы и показатели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Темп роста налоговых и неналоговых доходов консолидированного бюджета Чеченской Республики (к предыдущему году)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 xml:space="preserve">Отношение дефицита республиканского бюджета (с учетом допустимого превышения в соответствии с </w:t>
            </w:r>
            <w:hyperlink r:id="rId5" w:history="1">
              <w:r w:rsidRPr="00EA5DDC">
                <w:rPr>
                  <w:rStyle w:val="a9"/>
                  <w:rFonts w:eastAsiaTheme="majorEastAsia"/>
                </w:rPr>
                <w:t>пунктом 2 статьи 92.1</w:t>
              </w:r>
            </w:hyperlink>
            <w:r w:rsidRPr="00EA5DDC">
              <w:t xml:space="preserve"> Бюджетного кодекса Российской Федерации) к общему годовому объему доходов республиканского бюджета без учета утвержденного объема </w:t>
            </w:r>
            <w:r w:rsidRPr="00EA5DDC">
              <w:lastRenderedPageBreak/>
              <w:t>безвозмездных поступлений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Доля просроченной задолженности по долговым обязательствам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Доля расходов на обслуживание государственного долга Чеченской Республики в общем объеме расходов республиканского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Уровень долговой устойчивости Чеченской Республики по результатам оценки долговой устойчивости субъектов Российской Федерации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Доля просроченной кредиторской задолженности республиканского бюджета и местных бюджетов по расходам на оплату труда и уплату взносов по обязательному социальному страхованию на выплаты по оплате труда работников и иные выплаты работникам в общем объеме расходов консолидированного бюджета Чеченской Республики на указанные цели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Средний показатель качества финансового менеджмента главных распорядителей средств республиканского бюджета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Оценка Чеченской Республики в рейтинге субъектов Российской Федерации по уровню открытости бюджетных данных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Степень качества управления региональными финансами (по результатам оценки Министерства финансов Российской Федерации)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Эффективность выравнивания бюджетной обеспеченности муниципальных районов и городских округов Чеченской Республики (отношение среднего уровня бюджетной обеспеченности 5 наиболее и 5 наименее обеспеченных муниципальных районов (городских округов) после распределения дотаций на выравнивание бюджетной обеспеченности муниципальных районов (городских округов)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 xml:space="preserve">Доля муниципальных районов и городских округов Чеченской Республики,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50 процентов собственных доходов местного бюджета, в общем количестве муниципальных районов и городских </w:t>
            </w:r>
            <w:r w:rsidRPr="00EA5DDC">
              <w:lastRenderedPageBreak/>
              <w:t>округов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Доля муниципальных районов и городских округов Чеченской Республики, получающих дотации на выравнивание бюджетной обеспеченности муниципальных районов (городских округов) из республиканского бюджета и (или) доходы по заменяющим указанные дотации дополнительным нормативам отчислений от налога на доходы физических лиц, с которыми заключены соглашения, предусматривающие меры по социально-экономическому развитию и оздоровлению муниципальных финансов муниципального района (городского округа), в общем количестве муниципальных районов и городских округов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Доля муниципальных районов и городских округов Чеченской Республики, бюджеты которых на очередной финансовый год и плановый период сформированы на основе муниципальных программ (не менее чем на 80% от общего объема расходов местного бюджета), в общем количестве муниципальных районов и городских округов Чеченской Республики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 xml:space="preserve">Доля межбюджетных трансфертов, предоставляемых местным бюджетам из республиканского бюджета в соответствующем финансовом году, распределяемых </w:t>
            </w:r>
            <w:hyperlink r:id="rId6" w:history="1">
              <w:r w:rsidRPr="00EA5DDC">
                <w:rPr>
                  <w:rStyle w:val="a9"/>
                  <w:rFonts w:eastAsiaTheme="majorEastAsia"/>
                </w:rPr>
                <w:t>законом</w:t>
              </w:r>
            </w:hyperlink>
            <w:r w:rsidRPr="00EA5DDC">
              <w:t xml:space="preserve"> о республиканском бюджете, в общем объеме межбюджетных трансфертов, предоставляемых местным бюджетам</w:t>
            </w:r>
          </w:p>
        </w:tc>
      </w:tr>
      <w:tr w:rsidR="00357DFD" w:rsidRPr="00EA5DDC" w:rsidTr="0090561B">
        <w:tc>
          <w:tcPr>
            <w:tcW w:w="4340" w:type="dxa"/>
            <w:vMerge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357DFD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Количество инициативных проектов, реализованных с предоставлением финансовой поддержки из республиканского бюджета</w:t>
            </w:r>
          </w:p>
        </w:tc>
      </w:tr>
      <w:tr w:rsidR="00357DFD" w:rsidRPr="00EA5DDC" w:rsidTr="0090561B">
        <w:tc>
          <w:tcPr>
            <w:tcW w:w="434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357DFD" w:rsidRPr="00EA5DDC" w:rsidRDefault="00622507" w:rsidP="00A310E1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t>Этапы и сроки реализации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57DFD" w:rsidRPr="00EA5DDC" w:rsidRDefault="00357DFD" w:rsidP="00A310E1">
            <w:pPr>
              <w:pStyle w:val="a3"/>
            </w:pPr>
            <w:r w:rsidRPr="00EA5DDC">
              <w:t>2014-202</w:t>
            </w:r>
            <w:bookmarkStart w:id="0" w:name="_GoBack"/>
            <w:bookmarkEnd w:id="0"/>
            <w:r w:rsidRPr="00EA5DDC">
              <w:t>5 годы</w:t>
            </w:r>
          </w:p>
          <w:p w:rsidR="00357DFD" w:rsidRPr="00EA5DDC" w:rsidRDefault="00357DFD" w:rsidP="00A310E1">
            <w:pPr>
              <w:pStyle w:val="a3"/>
            </w:pPr>
            <w:r w:rsidRPr="00EA5DDC">
              <w:t>Выделение этапов не предусматривается</w:t>
            </w:r>
          </w:p>
        </w:tc>
      </w:tr>
      <w:tr w:rsidR="00DB60FF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60FF" w:rsidRPr="00EA5DDC" w:rsidRDefault="00622507" w:rsidP="00A310E1">
            <w:pPr>
              <w:pStyle w:val="a3"/>
            </w:pPr>
            <w:r w:rsidRPr="00EA5DDC">
              <w:t>Объемы бюджетных ассигнований программы</w:t>
            </w:r>
          </w:p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  <w:p w:rsidR="0090561B" w:rsidRPr="00EA5DDC" w:rsidRDefault="0090561B" w:rsidP="0090561B"/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lastRenderedPageBreak/>
              <w:t>Общий объем финансирования программы (тыс. рублей)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7E55BE" w:rsidP="00A310E1">
            <w:pPr>
              <w:pStyle w:val="a4"/>
              <w:jc w:val="center"/>
            </w:pPr>
            <w:r w:rsidRPr="00EA5DDC">
              <w:t>52 783 833,8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52 479 767,5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Объем финансирования программы по годам (тыс. рублей)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2014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4 063 114,7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4 063 114,7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2015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2 512 413,791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2 512 413,791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2016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3 797 429,906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3 797 429,906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2017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4 459 932,129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4 459 932,129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2018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4 769 265,956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4 769 265,956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2019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4 824 166,267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4 824 166,267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2020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5 217 862,122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5 217 862,122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2021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5 019 047,409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5 019 047,409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2022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5 012 181,916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5 012 181,916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2023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7E55BE" w:rsidP="00A310E1">
            <w:pPr>
              <w:pStyle w:val="a4"/>
              <w:jc w:val="center"/>
            </w:pPr>
            <w:r w:rsidRPr="00EA5DDC">
              <w:t>4 595 902,164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7E55BE" w:rsidP="00A310E1">
            <w:pPr>
              <w:pStyle w:val="a4"/>
              <w:jc w:val="center"/>
            </w:pPr>
            <w:r w:rsidRPr="00EA5DDC">
              <w:t>4 595 902,164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2024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55BE" w:rsidRPr="00EA5DDC" w:rsidRDefault="007E55BE" w:rsidP="007E55BE">
            <w:pPr>
              <w:pStyle w:val="a4"/>
              <w:jc w:val="center"/>
            </w:pPr>
            <w:r w:rsidRPr="00EA5DDC">
              <w:t>4 241 147,256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7E55BE" w:rsidP="00A310E1">
            <w:pPr>
              <w:pStyle w:val="a4"/>
              <w:jc w:val="center"/>
            </w:pPr>
            <w:r w:rsidRPr="00EA5DDC">
              <w:t>4 241 147,256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A310E1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A310E1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A310E1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в 2025 году -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7E55BE" w:rsidP="00357DFD">
            <w:pPr>
              <w:pStyle w:val="a4"/>
              <w:jc w:val="center"/>
            </w:pPr>
            <w:r w:rsidRPr="00EA5DDC">
              <w:t>4 271 370,191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в том числе по источникам: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федеральный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республиканский бюджет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55BE" w:rsidRPr="00EA5DDC" w:rsidRDefault="007E55BE" w:rsidP="007E55BE">
            <w:pPr>
              <w:pStyle w:val="a4"/>
              <w:jc w:val="center"/>
            </w:pPr>
            <w:r w:rsidRPr="00EA5DDC">
              <w:t>4 271 370,191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внебюджетные источники</w:t>
            </w:r>
          </w:p>
        </w:tc>
        <w:tc>
          <w:tcPr>
            <w:tcW w:w="1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4"/>
              <w:jc w:val="center"/>
            </w:pPr>
            <w:r w:rsidRPr="00EA5DDC">
              <w:t>-</w:t>
            </w:r>
          </w:p>
        </w:tc>
      </w:tr>
      <w:tr w:rsidR="00DB60FF" w:rsidRPr="00EA5DDC" w:rsidTr="0090561B">
        <w:tc>
          <w:tcPr>
            <w:tcW w:w="4340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DB60FF" w:rsidRPr="00EA5DDC" w:rsidRDefault="0090561B" w:rsidP="00357DFD">
            <w:pPr>
              <w:pStyle w:val="a3"/>
            </w:pPr>
            <w:r w:rsidRPr="00EA5DDC">
              <w:rPr>
                <w:color w:val="22272F"/>
                <w:sz w:val="23"/>
                <w:szCs w:val="23"/>
                <w:shd w:val="clear" w:color="auto" w:fill="FFFFFF"/>
              </w:rPr>
              <w:lastRenderedPageBreak/>
              <w:t>Ожидаемые результаты реализации программы</w:t>
            </w: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Устойчивый ежегодный прирост налоговых и неналоговых доходов консолидированного бюджета Чеченской Республики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 xml:space="preserve">Отношение дефицита республиканского бюджета (с учетом допустимого превышения в соответствии с </w:t>
            </w:r>
            <w:hyperlink r:id="rId7" w:history="1">
              <w:r w:rsidRPr="00EA5DDC">
                <w:rPr>
                  <w:rStyle w:val="a9"/>
                  <w:rFonts w:eastAsiaTheme="majorEastAsia"/>
                </w:rPr>
                <w:t>пунктом 2 статьи 92.1</w:t>
              </w:r>
            </w:hyperlink>
            <w:r w:rsidRPr="00EA5DDC">
              <w:t xml:space="preserve"> Бюджетного кодекса Российской Федерации) не более 7 процентов к общему годовому объему доходов республиканского бюджета без учета утвержденного объема безвозмездных поступлений.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Отсутствие просроченной задолженности по долговым обязательствам Чеченской Республики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Сохранение доли расходов на обслуживание государственного долга Чеченской Республики в общем объеме расходов республиканского бюджета, за исключением объема расходов, которые осуществляются за счет субвенций, предоставляемых из бюджетов бюджетной системы Российской Федерации, на уровне не более 0,1 процента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Сохранение среднего уровня долговой устойчивости Чеченской Республики по результатам оценки долговой устойчивости субъектов Российской Федерации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Отсутствие просроченной кредиторской задолженности республиканского бюджета и местных бюджетов по расходам на оплату труда и уплату взносов по обязательному социальному страхованию на выплаты по оплате труда работников и иные выплаты работникам в общем объеме расходов консолидированного бюджета Чеченской Республики на указанные цели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Сохранение среднего показателя качества финансового менеджмента главных распорядителей средств республиканского бюджета на уровне не менее 3,5 баллов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Улучшение позиций Чеченской Республики в рейтинге субъектов Российской Федерации по уровню открытости бюджетных данных (отнесение к числу субъектов Российской Федерации с высоким уровнем открытости бюджетных данных)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Сохранение степени качества управления региональными финансами по результатам оценки качества управления региональными финансами не ниже II степени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Сокращение дифференциации муниципальных районов и городских округов Чеченской Республики по уровню бюджетной обеспеченности до 2,5 раз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 xml:space="preserve">Ежегодное сохранение доли муниципальных районов и городских округов Чеченской </w:t>
            </w:r>
            <w:r w:rsidRPr="00EA5DDC">
              <w:lastRenderedPageBreak/>
              <w:t>Республики, в бюджетах которых доля дотаций из других бюджетов бюджетной системы Российской Федерации и (или) налоговых доходов по дополнительным нормативам отчислений в размере, не превышающем расчетного объема дотации на выравнивание бюджетной обеспеченности (части расчетного объема дотации), замененной дополнительными нормативами отчислений, в течение двух из трех последних отчетных финансовых лет превышала 50 процентов собственных доходов местного бюджета, в общем количестве муниципальных районов и городских округов Чеченской Республики на уровне не более 94,1 процентов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Ежегодное сохранение доли муниципальных районов и городских округов Чеченской Республики, получающих дотации на выравнивание бюджетной обеспеченности муниципальных районов (городских округов) из республиканского бюджета и (или) доходы по заменяющим указанные дотации дополнительным нормативам отчислений от налога на доходы физических лиц, с которыми заключены соглашения о мерах по социально-экономическому развитию и оздоровлению муниципальных финансов, в общем количестве муниципальных районов и городских округов Чеченской Республики на уровне 100 процентов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Ежегодное сохранение доли муниципальных районов и городских округов Чеченской Республики, бюджеты которых на очередной финансовый год и плановый период сформированы на основе муниципальных программ (не менее чем на 80% от общего объема расходов местного бюджета), в общем количестве муниципальных районов и городских округов Чеченской Республики на уровне 100 процентов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 xml:space="preserve">Ежегодное сохранение доли межбюджетных трансфертов, предоставляемых местным бюджетам из республиканского бюджета в соответствующем финансовом году, распределяемых </w:t>
            </w:r>
            <w:hyperlink r:id="rId8" w:history="1">
              <w:r w:rsidRPr="00EA5DDC">
                <w:rPr>
                  <w:rStyle w:val="a9"/>
                  <w:rFonts w:eastAsiaTheme="majorEastAsia"/>
                </w:rPr>
                <w:t>законом</w:t>
              </w:r>
            </w:hyperlink>
            <w:r w:rsidRPr="00EA5DDC">
              <w:t xml:space="preserve"> о республиканском бюджете, в общем объеме межбюджетных трансфертов, предоставляемых местным бюджетам, на уровне не ниже 95 процентов</w:t>
            </w:r>
          </w:p>
        </w:tc>
      </w:tr>
      <w:tr w:rsidR="00DB60FF" w:rsidRPr="00EA5DDC" w:rsidTr="0090561B">
        <w:tc>
          <w:tcPr>
            <w:tcW w:w="4340" w:type="dxa"/>
            <w:vMerge/>
            <w:tcBorders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Pr="00EA5DDC" w:rsidRDefault="00DB60FF" w:rsidP="00357DFD">
            <w:pPr>
              <w:pStyle w:val="a3"/>
            </w:pPr>
            <w:r w:rsidRPr="00EA5DDC">
              <w:t>Повышение уровня финансовой грамотности населения и доступности информации о защите прав потребителей финансовых услуг</w:t>
            </w:r>
          </w:p>
        </w:tc>
      </w:tr>
      <w:tr w:rsidR="00DB60FF" w:rsidTr="0090561B">
        <w:tc>
          <w:tcPr>
            <w:tcW w:w="434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DB60FF" w:rsidRPr="00EA5DDC" w:rsidRDefault="00DB60FF" w:rsidP="00357DFD">
            <w:pPr>
              <w:pStyle w:val="a4"/>
            </w:pPr>
          </w:p>
        </w:tc>
        <w:tc>
          <w:tcPr>
            <w:tcW w:w="54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B60FF" w:rsidRDefault="00DB60FF" w:rsidP="00357DFD">
            <w:pPr>
              <w:pStyle w:val="a3"/>
            </w:pPr>
            <w:r w:rsidRPr="00EA5DDC">
              <w:t>Внедрение и развитие практики инициативного бюджетирования в Чеченской Республике</w:t>
            </w:r>
          </w:p>
        </w:tc>
      </w:tr>
    </w:tbl>
    <w:p w:rsidR="00357DFD" w:rsidRDefault="00357DFD" w:rsidP="00A06C78"/>
    <w:sectPr w:rsidR="00357DFD" w:rsidSect="00357DFD">
      <w:pgSz w:w="11906" w:h="16838"/>
      <w:pgMar w:top="851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9662F"/>
    <w:multiLevelType w:val="hybridMultilevel"/>
    <w:tmpl w:val="EE62B25A"/>
    <w:lvl w:ilvl="0" w:tplc="338E4ED6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">
    <w:nsid w:val="1B9C76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442923E9"/>
    <w:multiLevelType w:val="multilevel"/>
    <w:tmpl w:val="D1CCF888"/>
    <w:lvl w:ilvl="0">
      <w:start w:val="1"/>
      <w:numFmt w:val="decimal"/>
      <w:lvlText w:val="%1."/>
      <w:lvlJc w:val="left"/>
      <w:pPr>
        <w:ind w:left="645" w:hanging="64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26C8"/>
    <w:rsid w:val="000837E5"/>
    <w:rsid w:val="000C3D83"/>
    <w:rsid w:val="0013142D"/>
    <w:rsid w:val="00185601"/>
    <w:rsid w:val="001C1D74"/>
    <w:rsid w:val="00297323"/>
    <w:rsid w:val="00297E68"/>
    <w:rsid w:val="002F1D51"/>
    <w:rsid w:val="002F2FB3"/>
    <w:rsid w:val="00327246"/>
    <w:rsid w:val="00357DFD"/>
    <w:rsid w:val="003C0E08"/>
    <w:rsid w:val="003C3789"/>
    <w:rsid w:val="003E629B"/>
    <w:rsid w:val="00407448"/>
    <w:rsid w:val="00485D76"/>
    <w:rsid w:val="004E2EEE"/>
    <w:rsid w:val="004E440D"/>
    <w:rsid w:val="00512F78"/>
    <w:rsid w:val="005453E6"/>
    <w:rsid w:val="00582CA9"/>
    <w:rsid w:val="005D0FDB"/>
    <w:rsid w:val="005E08B1"/>
    <w:rsid w:val="00622507"/>
    <w:rsid w:val="00623A20"/>
    <w:rsid w:val="006D7BDE"/>
    <w:rsid w:val="006E4B02"/>
    <w:rsid w:val="006E640B"/>
    <w:rsid w:val="00705948"/>
    <w:rsid w:val="00732B2A"/>
    <w:rsid w:val="007449CA"/>
    <w:rsid w:val="007727C4"/>
    <w:rsid w:val="00782FC7"/>
    <w:rsid w:val="007C0378"/>
    <w:rsid w:val="007C6497"/>
    <w:rsid w:val="007D4E95"/>
    <w:rsid w:val="007E55BE"/>
    <w:rsid w:val="00810243"/>
    <w:rsid w:val="00816897"/>
    <w:rsid w:val="008243BE"/>
    <w:rsid w:val="008660FD"/>
    <w:rsid w:val="00891EFC"/>
    <w:rsid w:val="008F0FEE"/>
    <w:rsid w:val="0090561B"/>
    <w:rsid w:val="00970D31"/>
    <w:rsid w:val="00994EE9"/>
    <w:rsid w:val="009F5E67"/>
    <w:rsid w:val="00A06C78"/>
    <w:rsid w:val="00AA23A9"/>
    <w:rsid w:val="00AA33F0"/>
    <w:rsid w:val="00AD26C8"/>
    <w:rsid w:val="00B24D14"/>
    <w:rsid w:val="00B80663"/>
    <w:rsid w:val="00BB15E8"/>
    <w:rsid w:val="00BF3A8B"/>
    <w:rsid w:val="00C24F2A"/>
    <w:rsid w:val="00C31BC7"/>
    <w:rsid w:val="00DB60FF"/>
    <w:rsid w:val="00E214BD"/>
    <w:rsid w:val="00E305F3"/>
    <w:rsid w:val="00E46387"/>
    <w:rsid w:val="00EA5DDC"/>
    <w:rsid w:val="00EC211D"/>
    <w:rsid w:val="00F613C9"/>
    <w:rsid w:val="00F95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6705B5A-07D7-40E2-9385-2978A6DA40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13C9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AD26C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AD26C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AD26C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D26C8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D26C8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26C8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paragraph" w:customStyle="1" w:styleId="a3">
    <w:name w:val="Прижатый влево"/>
    <w:basedOn w:val="a"/>
    <w:next w:val="a"/>
    <w:uiPriority w:val="99"/>
    <w:rsid w:val="00AD26C8"/>
    <w:pPr>
      <w:widowControl w:val="0"/>
      <w:autoSpaceDE w:val="0"/>
      <w:autoSpaceDN w:val="0"/>
      <w:adjustRightInd w:val="0"/>
    </w:pPr>
    <w:rPr>
      <w:rFonts w:ascii="Times New Roman CYR" w:hAnsi="Times New Roman CYR" w:cs="Times New Roman CYR"/>
      <w:sz w:val="24"/>
      <w:szCs w:val="24"/>
    </w:rPr>
  </w:style>
  <w:style w:type="paragraph" w:customStyle="1" w:styleId="a4">
    <w:name w:val="Нормальный (таблица)"/>
    <w:basedOn w:val="a"/>
    <w:next w:val="a"/>
    <w:uiPriority w:val="99"/>
    <w:rsid w:val="00AD26C8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s16">
    <w:name w:val="s_16"/>
    <w:basedOn w:val="a"/>
    <w:rsid w:val="00F95B5D"/>
    <w:pPr>
      <w:spacing w:before="100" w:beforeAutospacing="1" w:after="100" w:afterAutospacing="1"/>
    </w:pPr>
    <w:rPr>
      <w:sz w:val="24"/>
      <w:szCs w:val="24"/>
    </w:rPr>
  </w:style>
  <w:style w:type="paragraph" w:customStyle="1" w:styleId="empty">
    <w:name w:val="empty"/>
    <w:basedOn w:val="a"/>
    <w:rsid w:val="00F95B5D"/>
    <w:pPr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8660FD"/>
    <w:pPr>
      <w:ind w:left="720"/>
      <w:contextualSpacing/>
    </w:pPr>
  </w:style>
  <w:style w:type="paragraph" w:customStyle="1" w:styleId="a6">
    <w:name w:val="Для внутренних документов ПНР"/>
    <w:basedOn w:val="1"/>
    <w:rsid w:val="00357DFD"/>
    <w:pPr>
      <w:spacing w:before="480" w:line="276" w:lineRule="auto"/>
      <w:ind w:left="1134"/>
    </w:pPr>
    <w:rPr>
      <w:rFonts w:ascii="Arial Black" w:eastAsia="Times New Roman" w:hAnsi="Arial Black" w:cs="Times New Roman"/>
      <w:color w:val="365F91"/>
      <w:sz w:val="52"/>
      <w:szCs w:val="20"/>
    </w:rPr>
  </w:style>
  <w:style w:type="paragraph" w:styleId="a7">
    <w:name w:val="caption"/>
    <w:basedOn w:val="a"/>
    <w:next w:val="a"/>
    <w:link w:val="a8"/>
    <w:rsid w:val="00357DFD"/>
    <w:pPr>
      <w:spacing w:after="200"/>
    </w:pPr>
    <w:rPr>
      <w:b/>
      <w:color w:val="4F81BD"/>
      <w:sz w:val="18"/>
      <w:szCs w:val="20"/>
    </w:rPr>
  </w:style>
  <w:style w:type="character" w:customStyle="1" w:styleId="a8">
    <w:name w:val="Название объекта Знак"/>
    <w:basedOn w:val="a0"/>
    <w:link w:val="a7"/>
    <w:rsid w:val="00357DFD"/>
    <w:rPr>
      <w:rFonts w:ascii="Times New Roman" w:eastAsia="Times New Roman" w:hAnsi="Times New Roman" w:cs="Times New Roman"/>
      <w:b/>
      <w:color w:val="4F81BD"/>
      <w:sz w:val="18"/>
      <w:szCs w:val="20"/>
      <w:lang w:eastAsia="ru-RU"/>
    </w:rPr>
  </w:style>
  <w:style w:type="paragraph" w:customStyle="1" w:styleId="11">
    <w:name w:val="Основной текст1"/>
    <w:basedOn w:val="a"/>
    <w:rsid w:val="00357DFD"/>
    <w:pPr>
      <w:widowControl w:val="0"/>
      <w:spacing w:line="456" w:lineRule="exact"/>
      <w:jc w:val="center"/>
    </w:pPr>
    <w:rPr>
      <w:b/>
      <w:color w:val="000000"/>
      <w:sz w:val="37"/>
      <w:szCs w:val="20"/>
    </w:rPr>
  </w:style>
  <w:style w:type="character" w:customStyle="1" w:styleId="a9">
    <w:name w:val="Гипертекстовая ссылка"/>
    <w:basedOn w:val="a0"/>
    <w:uiPriority w:val="99"/>
    <w:rsid w:val="00357DFD"/>
    <w:rPr>
      <w:color w:val="106BB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430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088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52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50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57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54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41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78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37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83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189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455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8023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953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248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0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626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583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05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52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5166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115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9960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32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54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81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65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782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811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46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6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5389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0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1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00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internet.garant.ru/document/redirect/35911700/0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internet.garant.ru/document/redirect/12112604/9201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internet.garant.ru/document/redirect/35911700/0" TargetMode="External"/><Relationship Id="rId5" Type="http://schemas.openxmlformats.org/officeDocument/2006/relationships/hyperlink" Target="http://internet.garant.ru/document/redirect/12112604/92012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694</TotalTime>
  <Pages>8</Pages>
  <Words>2098</Words>
  <Characters>11962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Дукаев Заур Вахаевич</dc:creator>
  <cp:keywords/>
  <dc:description/>
  <cp:lastModifiedBy>Ялмаев Магомед Алиевич</cp:lastModifiedBy>
  <cp:revision>48</cp:revision>
  <dcterms:created xsi:type="dcterms:W3CDTF">2022-01-28T11:30:00Z</dcterms:created>
  <dcterms:modified xsi:type="dcterms:W3CDTF">2022-10-28T14:50:00Z</dcterms:modified>
</cp:coreProperties>
</file>